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C80B" w14:textId="77777777" w:rsidR="00B560D5" w:rsidRPr="0000403C" w:rsidRDefault="00B560D5" w:rsidP="00B560D5">
      <w:pPr>
        <w:pStyle w:val="Header"/>
        <w:pBdr>
          <w:bottom w:val="single" w:sz="4" w:space="1" w:color="auto"/>
        </w:pBdr>
        <w:jc w:val="center"/>
        <w:rPr>
          <w:rFonts w:ascii="Copperplate Gothic Bold" w:hAnsi="Copperplate Gothic Bold"/>
          <w:i/>
          <w:smallCaps/>
          <w:color w:val="000080"/>
          <w:sz w:val="32"/>
        </w:rPr>
      </w:pPr>
      <w:bookmarkStart w:id="0" w:name="_Toc330544587"/>
      <w:bookmarkStart w:id="1" w:name="_GoBack"/>
      <w:bookmarkEnd w:id="1"/>
      <w:r w:rsidRPr="0000403C">
        <w:rPr>
          <w:rFonts w:ascii="Copperplate Gothic Bold" w:hAnsi="Copperplate Gothic Bold"/>
          <w:i/>
          <w:smallCaps/>
          <w:color w:val="000080"/>
          <w:sz w:val="32"/>
        </w:rPr>
        <w:t>Santa Cruz County Homeless Action Partnership</w:t>
      </w:r>
    </w:p>
    <w:p w14:paraId="34E43D1E" w14:textId="303D76B5" w:rsidR="00B560D5" w:rsidRDefault="002B26C1" w:rsidP="00B560D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</w:t>
      </w:r>
      <w:r w:rsidR="00B560D5" w:rsidRPr="00B560D5">
        <w:rPr>
          <w:rFonts w:asciiTheme="majorHAnsi" w:hAnsiTheme="majorHAnsi"/>
          <w:b/>
        </w:rPr>
        <w:t xml:space="preserve"> Local CoC Process Timeline</w:t>
      </w:r>
      <w:bookmarkEnd w:id="0"/>
    </w:p>
    <w:p w14:paraId="330969B0" w14:textId="77777777" w:rsidR="00B560D5" w:rsidRPr="00B560D5" w:rsidRDefault="00B560D5" w:rsidP="00B560D5">
      <w:pPr>
        <w:jc w:val="center"/>
        <w:rPr>
          <w:rFonts w:asciiTheme="majorHAnsi" w:hAnsiTheme="majorHAnsi"/>
          <w:b/>
        </w:rPr>
      </w:pPr>
    </w:p>
    <w:p w14:paraId="0B284AD9" w14:textId="682FB3B7" w:rsidR="00B560D5" w:rsidRDefault="00B560D5" w:rsidP="00B560D5">
      <w:pPr>
        <w:rPr>
          <w:rFonts w:ascii="Calibri" w:hAnsi="Calibri"/>
          <w:sz w:val="20"/>
          <w:szCs w:val="20"/>
        </w:rPr>
      </w:pPr>
      <w:r w:rsidRPr="006E7EC4">
        <w:rPr>
          <w:rFonts w:ascii="Calibri" w:hAnsi="Calibri"/>
          <w:sz w:val="20"/>
          <w:szCs w:val="20"/>
        </w:rPr>
        <w:t>Each year, the Homeless Action Partnership (HAP) administers the Continuum of Care (CoC) Program Competition for HUD funds.  This calendar serves as a guide for CoC applicants who are considering applying for new or renewal funds from HUD.  Please note that the dates are tentative and may change according</w:t>
      </w:r>
      <w:r w:rsidR="002B26C1">
        <w:rPr>
          <w:rFonts w:ascii="Calibri" w:hAnsi="Calibri"/>
          <w:sz w:val="20"/>
          <w:szCs w:val="20"/>
        </w:rPr>
        <w:t xml:space="preserve"> to the requirements of the 2017</w:t>
      </w:r>
      <w:r w:rsidRPr="006E7EC4">
        <w:rPr>
          <w:rFonts w:ascii="Calibri" w:hAnsi="Calibri"/>
          <w:sz w:val="20"/>
          <w:szCs w:val="20"/>
        </w:rPr>
        <w:t xml:space="preserve"> CoC application process. Please contact Julie Conway at 831.454.5162 or </w:t>
      </w:r>
      <w:hyperlink r:id="rId6" w:history="1">
        <w:r w:rsidRPr="006E7EC4">
          <w:rPr>
            <w:rStyle w:val="Hyperlink"/>
            <w:rFonts w:ascii="Calibri" w:hAnsi="Calibri"/>
            <w:sz w:val="20"/>
            <w:szCs w:val="20"/>
          </w:rPr>
          <w:t>Julie.Conway@santacruzcounty.us</w:t>
        </w:r>
      </w:hyperlink>
      <w:r w:rsidRPr="006E7EC4">
        <w:rPr>
          <w:rFonts w:ascii="Calibri" w:hAnsi="Calibri"/>
          <w:sz w:val="20"/>
          <w:szCs w:val="20"/>
        </w:rPr>
        <w:t>, or the HAP CoC Consultant at 415.458.2460 with any questions.</w:t>
      </w:r>
    </w:p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4663"/>
        <w:gridCol w:w="1655"/>
      </w:tblGrid>
      <w:tr w:rsidR="002B26C1" w:rsidRPr="009B0B56" w14:paraId="1CBC378E" w14:textId="2F68CE24" w:rsidTr="002462C6">
        <w:tc>
          <w:tcPr>
            <w:tcW w:w="4680" w:type="dxa"/>
            <w:shd w:val="clear" w:color="auto" w:fill="auto"/>
          </w:tcPr>
          <w:p w14:paraId="23CC2C5E" w14:textId="77777777" w:rsidR="002B26C1" w:rsidRPr="009B0B56" w:rsidRDefault="002B26C1" w:rsidP="002B26C1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b/>
                <w:sz w:val="20"/>
                <w:szCs w:val="20"/>
                <w:lang w:bidi="x-none"/>
              </w:rPr>
              <w:t>Step</w:t>
            </w:r>
          </w:p>
        </w:tc>
        <w:tc>
          <w:tcPr>
            <w:tcW w:w="4663" w:type="dxa"/>
            <w:shd w:val="clear" w:color="auto" w:fill="auto"/>
          </w:tcPr>
          <w:p w14:paraId="6ACEDB34" w14:textId="77777777" w:rsidR="002B26C1" w:rsidRPr="009B0B56" w:rsidRDefault="002B26C1" w:rsidP="002B26C1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Date 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62B916DD" w14:textId="20238755" w:rsidR="002B26C1" w:rsidRPr="009B0B56" w:rsidRDefault="002B26C1" w:rsidP="002B26C1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Status</w:t>
            </w:r>
          </w:p>
        </w:tc>
      </w:tr>
      <w:tr w:rsidR="002B26C1" w:rsidRPr="009B0B56" w14:paraId="5A262486" w14:textId="71AF09AE" w:rsidTr="002462C6">
        <w:tc>
          <w:tcPr>
            <w:tcW w:w="4680" w:type="dxa"/>
            <w:shd w:val="clear" w:color="auto" w:fill="auto"/>
          </w:tcPr>
          <w:p w14:paraId="7BABF828" w14:textId="288F1DAF" w:rsidR="002B26C1" w:rsidRPr="009B0B56" w:rsidRDefault="0097135B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PIT homeless population count </w:t>
            </w:r>
          </w:p>
        </w:tc>
        <w:tc>
          <w:tcPr>
            <w:tcW w:w="4663" w:type="dxa"/>
            <w:shd w:val="clear" w:color="auto" w:fill="auto"/>
          </w:tcPr>
          <w:p w14:paraId="0F5C11DE" w14:textId="57C929F3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January 23</w:t>
            </w:r>
          </w:p>
        </w:tc>
        <w:tc>
          <w:tcPr>
            <w:tcW w:w="1655" w:type="dxa"/>
            <w:shd w:val="clear" w:color="auto" w:fill="E6E6E6"/>
          </w:tcPr>
          <w:p w14:paraId="6313398A" w14:textId="2D8D4883" w:rsidR="002B26C1" w:rsidRPr="00443A72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443A72">
              <w:rPr>
                <w:rFonts w:ascii="Calibri" w:hAnsi="Calibri"/>
                <w:sz w:val="20"/>
                <w:szCs w:val="20"/>
                <w:lang w:bidi="x-none"/>
              </w:rPr>
              <w:t>Done</w:t>
            </w:r>
          </w:p>
        </w:tc>
      </w:tr>
      <w:tr w:rsidR="002B26C1" w:rsidRPr="009B0B56" w14:paraId="64EA739A" w14:textId="73936189" w:rsidTr="002462C6">
        <w:tc>
          <w:tcPr>
            <w:tcW w:w="4680" w:type="dxa"/>
            <w:shd w:val="clear" w:color="auto" w:fill="auto"/>
          </w:tcPr>
          <w:p w14:paraId="04540F56" w14:textId="42C69979" w:rsidR="002B26C1" w:rsidRPr="009B0B56" w:rsidRDefault="0097135B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PIT housing inventory count</w:t>
            </w:r>
          </w:p>
        </w:tc>
        <w:tc>
          <w:tcPr>
            <w:tcW w:w="4663" w:type="dxa"/>
            <w:shd w:val="clear" w:color="auto" w:fill="auto"/>
          </w:tcPr>
          <w:p w14:paraId="27DD03E0" w14:textId="6B7BC4AC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January 23</w:t>
            </w:r>
          </w:p>
        </w:tc>
        <w:tc>
          <w:tcPr>
            <w:tcW w:w="1655" w:type="dxa"/>
            <w:shd w:val="clear" w:color="auto" w:fill="E6E6E6"/>
          </w:tcPr>
          <w:p w14:paraId="7811AF04" w14:textId="0E0B9522" w:rsidR="002B26C1" w:rsidRPr="00443A72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443A72">
              <w:rPr>
                <w:rFonts w:ascii="Calibri" w:hAnsi="Calibri"/>
                <w:sz w:val="20"/>
                <w:szCs w:val="20"/>
                <w:lang w:bidi="x-none"/>
              </w:rPr>
              <w:t>Done</w:t>
            </w:r>
          </w:p>
        </w:tc>
      </w:tr>
      <w:tr w:rsidR="002B26C1" w:rsidRPr="009B0B56" w14:paraId="6D9D97BE" w14:textId="77777777" w:rsidTr="002462C6">
        <w:tc>
          <w:tcPr>
            <w:tcW w:w="4680" w:type="dxa"/>
            <w:shd w:val="clear" w:color="auto" w:fill="auto"/>
          </w:tcPr>
          <w:p w14:paraId="65F15CF1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Deadline for HAP to submit CoC Registration in e-snaps</w:t>
            </w:r>
          </w:p>
        </w:tc>
        <w:tc>
          <w:tcPr>
            <w:tcW w:w="4663" w:type="dxa"/>
            <w:shd w:val="clear" w:color="auto" w:fill="auto"/>
          </w:tcPr>
          <w:p w14:paraId="77878208" w14:textId="51D34F5B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May 1</w:t>
            </w:r>
          </w:p>
        </w:tc>
        <w:tc>
          <w:tcPr>
            <w:tcW w:w="1655" w:type="dxa"/>
            <w:shd w:val="clear" w:color="auto" w:fill="E6E6E6"/>
          </w:tcPr>
          <w:p w14:paraId="2494701C" w14:textId="77777777" w:rsidR="002B26C1" w:rsidRPr="00443A72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</w:p>
        </w:tc>
      </w:tr>
      <w:tr w:rsidR="002B26C1" w:rsidRPr="009B0B56" w14:paraId="2493F41C" w14:textId="77777777" w:rsidTr="002462C6">
        <w:tc>
          <w:tcPr>
            <w:tcW w:w="4680" w:type="dxa"/>
            <w:shd w:val="clear" w:color="auto" w:fill="auto"/>
          </w:tcPr>
          <w:p w14:paraId="77AF7872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Deadline for HAP to submit initial</w:t>
            </w: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 GIW</w:t>
            </w: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 to HUD Field Office</w:t>
            </w:r>
          </w:p>
        </w:tc>
        <w:tc>
          <w:tcPr>
            <w:tcW w:w="4663" w:type="dxa"/>
            <w:shd w:val="clear" w:color="auto" w:fill="auto"/>
          </w:tcPr>
          <w:p w14:paraId="21ACA7ED" w14:textId="5DEE868A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May </w:t>
            </w:r>
            <w:r>
              <w:rPr>
                <w:rFonts w:ascii="Calibri" w:hAnsi="Calibri"/>
                <w:sz w:val="20"/>
                <w:szCs w:val="20"/>
                <w:lang w:bidi="x-none"/>
              </w:rPr>
              <w:t>4</w:t>
            </w:r>
          </w:p>
        </w:tc>
        <w:tc>
          <w:tcPr>
            <w:tcW w:w="1655" w:type="dxa"/>
            <w:shd w:val="clear" w:color="auto" w:fill="E6E6E6"/>
          </w:tcPr>
          <w:p w14:paraId="77B2E1F9" w14:textId="22AC3453" w:rsidR="002B26C1" w:rsidRPr="00443A72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443A72">
              <w:rPr>
                <w:rFonts w:ascii="Calibri" w:hAnsi="Calibri"/>
                <w:sz w:val="20"/>
                <w:szCs w:val="20"/>
                <w:lang w:bidi="x-none"/>
              </w:rPr>
              <w:t>Done</w:t>
            </w:r>
          </w:p>
        </w:tc>
      </w:tr>
      <w:tr w:rsidR="002B26C1" w:rsidRPr="009B0B56" w14:paraId="68B0A722" w14:textId="59741C2C" w:rsidTr="002462C6">
        <w:tc>
          <w:tcPr>
            <w:tcW w:w="4680" w:type="dxa"/>
            <w:shd w:val="clear" w:color="auto" w:fill="auto"/>
          </w:tcPr>
          <w:p w14:paraId="1161C2E0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Deadline for HAP to submit PIT count of homeless population in HDX</w:t>
            </w:r>
          </w:p>
        </w:tc>
        <w:tc>
          <w:tcPr>
            <w:tcW w:w="4663" w:type="dxa"/>
            <w:shd w:val="clear" w:color="auto" w:fill="auto"/>
          </w:tcPr>
          <w:p w14:paraId="6E7DBC60" w14:textId="556DE0B6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May </w:t>
            </w:r>
            <w:r>
              <w:rPr>
                <w:rFonts w:ascii="Calibri" w:hAnsi="Calibri"/>
                <w:sz w:val="20"/>
                <w:szCs w:val="20"/>
                <w:lang w:bidi="x-none"/>
              </w:rPr>
              <w:t>5</w:t>
            </w:r>
          </w:p>
        </w:tc>
        <w:tc>
          <w:tcPr>
            <w:tcW w:w="1655" w:type="dxa"/>
            <w:shd w:val="clear" w:color="auto" w:fill="E6E6E6"/>
          </w:tcPr>
          <w:p w14:paraId="5669973B" w14:textId="006AD603" w:rsidR="002B26C1" w:rsidRPr="00443A72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443A72">
              <w:rPr>
                <w:rFonts w:ascii="Calibri" w:hAnsi="Calibri"/>
                <w:sz w:val="20"/>
                <w:szCs w:val="20"/>
                <w:lang w:bidi="x-none"/>
              </w:rPr>
              <w:t>Done</w:t>
            </w:r>
          </w:p>
        </w:tc>
      </w:tr>
      <w:tr w:rsidR="002B26C1" w:rsidRPr="009B0B56" w14:paraId="38917B64" w14:textId="2BDB84B5" w:rsidTr="002462C6">
        <w:tc>
          <w:tcPr>
            <w:tcW w:w="4680" w:type="dxa"/>
            <w:shd w:val="clear" w:color="auto" w:fill="auto"/>
          </w:tcPr>
          <w:p w14:paraId="5C08B1B8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Deadline for HAP to submit housing inventory charts (HIC) in HDX</w:t>
            </w:r>
          </w:p>
        </w:tc>
        <w:tc>
          <w:tcPr>
            <w:tcW w:w="4663" w:type="dxa"/>
            <w:shd w:val="clear" w:color="auto" w:fill="auto"/>
          </w:tcPr>
          <w:p w14:paraId="5496CF09" w14:textId="3F59E7CC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May </w:t>
            </w:r>
            <w:r>
              <w:rPr>
                <w:rFonts w:ascii="Calibri" w:hAnsi="Calibri"/>
                <w:sz w:val="20"/>
                <w:szCs w:val="20"/>
                <w:lang w:bidi="x-none"/>
              </w:rPr>
              <w:t>5</w:t>
            </w:r>
          </w:p>
        </w:tc>
        <w:tc>
          <w:tcPr>
            <w:tcW w:w="1655" w:type="dxa"/>
            <w:shd w:val="clear" w:color="auto" w:fill="E6E6E6"/>
          </w:tcPr>
          <w:p w14:paraId="1F7ED82A" w14:textId="1DA0ED7C" w:rsidR="002B26C1" w:rsidRPr="00443A72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443A72">
              <w:rPr>
                <w:rFonts w:ascii="Calibri" w:hAnsi="Calibri"/>
                <w:sz w:val="20"/>
                <w:szCs w:val="20"/>
                <w:lang w:bidi="x-none"/>
              </w:rPr>
              <w:t>Done</w:t>
            </w:r>
          </w:p>
        </w:tc>
      </w:tr>
      <w:tr w:rsidR="002B26C1" w:rsidRPr="009B0B56" w14:paraId="2E0C56CA" w14:textId="77777777" w:rsidTr="002462C6">
        <w:tc>
          <w:tcPr>
            <w:tcW w:w="4680" w:type="dxa"/>
            <w:shd w:val="clear" w:color="auto" w:fill="auto"/>
          </w:tcPr>
          <w:p w14:paraId="2450A3D5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Deadline for HAP to submit CoC Review in e-snaps</w:t>
            </w:r>
          </w:p>
        </w:tc>
        <w:tc>
          <w:tcPr>
            <w:tcW w:w="4663" w:type="dxa"/>
            <w:shd w:val="clear" w:color="auto" w:fill="auto"/>
          </w:tcPr>
          <w:p w14:paraId="44A9EBCF" w14:textId="2A6A4C4A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June 2</w:t>
            </w:r>
          </w:p>
        </w:tc>
        <w:tc>
          <w:tcPr>
            <w:tcW w:w="1655" w:type="dxa"/>
            <w:shd w:val="clear" w:color="auto" w:fill="E6E6E6"/>
          </w:tcPr>
          <w:p w14:paraId="45C83E57" w14:textId="4AFD829B" w:rsidR="002B26C1" w:rsidRPr="00443A72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443A72">
              <w:rPr>
                <w:rFonts w:ascii="Calibri" w:hAnsi="Calibri"/>
                <w:sz w:val="20"/>
                <w:szCs w:val="20"/>
                <w:lang w:bidi="x-none"/>
              </w:rPr>
              <w:t>Done</w:t>
            </w:r>
          </w:p>
        </w:tc>
      </w:tr>
      <w:tr w:rsidR="002B26C1" w:rsidRPr="009B0B56" w14:paraId="2035922E" w14:textId="77777777" w:rsidTr="002462C6">
        <w:tc>
          <w:tcPr>
            <w:tcW w:w="4680" w:type="dxa"/>
            <w:shd w:val="clear" w:color="auto" w:fill="auto"/>
          </w:tcPr>
          <w:p w14:paraId="603BEDC1" w14:textId="41B422FF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Deadline for HAP to submit </w:t>
            </w: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system performance measure (SysPM) </w:t>
            </w: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in HDX</w:t>
            </w:r>
          </w:p>
        </w:tc>
        <w:tc>
          <w:tcPr>
            <w:tcW w:w="4663" w:type="dxa"/>
            <w:shd w:val="clear" w:color="auto" w:fill="auto"/>
          </w:tcPr>
          <w:p w14:paraId="761CEF95" w14:textId="36AF635C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June 5</w:t>
            </w:r>
          </w:p>
        </w:tc>
        <w:tc>
          <w:tcPr>
            <w:tcW w:w="1655" w:type="dxa"/>
            <w:shd w:val="clear" w:color="auto" w:fill="E6E6E6"/>
          </w:tcPr>
          <w:p w14:paraId="4F202B9A" w14:textId="41C370F6" w:rsidR="002B26C1" w:rsidRPr="00443A72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443A72">
              <w:rPr>
                <w:rFonts w:ascii="Calibri" w:hAnsi="Calibri"/>
                <w:sz w:val="20"/>
                <w:szCs w:val="20"/>
                <w:lang w:bidi="x-none"/>
              </w:rPr>
              <w:t>Done</w:t>
            </w:r>
          </w:p>
        </w:tc>
      </w:tr>
      <w:tr w:rsidR="002B26C1" w:rsidRPr="009B0B56" w14:paraId="2A8713BC" w14:textId="603796E0" w:rsidTr="002462C6">
        <w:tc>
          <w:tcPr>
            <w:tcW w:w="4680" w:type="dxa"/>
            <w:shd w:val="clear" w:color="auto" w:fill="auto"/>
          </w:tcPr>
          <w:p w14:paraId="40376D1E" w14:textId="3A710BDE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Deadline for </w:t>
            </w:r>
            <w:r>
              <w:rPr>
                <w:rFonts w:ascii="Calibri" w:hAnsi="Calibri"/>
                <w:sz w:val="20"/>
                <w:szCs w:val="20"/>
                <w:lang w:bidi="x-none"/>
              </w:rPr>
              <w:t>HUD posting of final GIW</w:t>
            </w: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bidi="x-none"/>
              </w:rPr>
              <w:t>HUD Exchange website</w:t>
            </w:r>
          </w:p>
        </w:tc>
        <w:tc>
          <w:tcPr>
            <w:tcW w:w="4663" w:type="dxa"/>
            <w:shd w:val="clear" w:color="auto" w:fill="auto"/>
          </w:tcPr>
          <w:p w14:paraId="2961DDCF" w14:textId="442CCE83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June 9</w:t>
            </w:r>
          </w:p>
        </w:tc>
        <w:tc>
          <w:tcPr>
            <w:tcW w:w="1655" w:type="dxa"/>
            <w:shd w:val="clear" w:color="auto" w:fill="E6E6E6"/>
          </w:tcPr>
          <w:p w14:paraId="4FA4047D" w14:textId="05FB630B" w:rsidR="002B26C1" w:rsidRPr="00443A72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443A72">
              <w:rPr>
                <w:rFonts w:ascii="Calibri" w:hAnsi="Calibri"/>
                <w:sz w:val="20"/>
                <w:szCs w:val="20"/>
                <w:lang w:bidi="x-none"/>
              </w:rPr>
              <w:t>Done</w:t>
            </w:r>
          </w:p>
        </w:tc>
      </w:tr>
      <w:tr w:rsidR="002B26C1" w:rsidRPr="009B0B56" w14:paraId="36235CB9" w14:textId="632862F1" w:rsidTr="002462C6">
        <w:tc>
          <w:tcPr>
            <w:tcW w:w="4680" w:type="dxa"/>
            <w:shd w:val="clear" w:color="auto" w:fill="auto"/>
          </w:tcPr>
          <w:p w14:paraId="35C97E11" w14:textId="7035381D" w:rsidR="002B26C1" w:rsidRPr="009B0B56" w:rsidRDefault="00D51DBE" w:rsidP="002B26C1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HUD releases 2017</w:t>
            </w:r>
            <w:r w:rsidR="002B26C1" w:rsidRPr="009B0B56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 CoC NOFA</w:t>
            </w:r>
          </w:p>
        </w:tc>
        <w:tc>
          <w:tcPr>
            <w:tcW w:w="4663" w:type="dxa"/>
            <w:shd w:val="clear" w:color="auto" w:fill="auto"/>
          </w:tcPr>
          <w:p w14:paraId="0DF61F81" w14:textId="2B31E7D3" w:rsidR="002B26C1" w:rsidRPr="009B0B56" w:rsidRDefault="00D51DBE" w:rsidP="002B26C1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July 14</w:t>
            </w:r>
          </w:p>
        </w:tc>
        <w:tc>
          <w:tcPr>
            <w:tcW w:w="1655" w:type="dxa"/>
            <w:shd w:val="clear" w:color="auto" w:fill="E6E6E6"/>
          </w:tcPr>
          <w:p w14:paraId="1F6896C9" w14:textId="7990A036" w:rsidR="002B26C1" w:rsidRPr="00443A72" w:rsidRDefault="008117F9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443A72">
              <w:rPr>
                <w:rFonts w:ascii="Calibri" w:hAnsi="Calibri"/>
                <w:sz w:val="20"/>
                <w:szCs w:val="20"/>
                <w:lang w:bidi="x-none"/>
              </w:rPr>
              <w:t>Done</w:t>
            </w:r>
          </w:p>
        </w:tc>
      </w:tr>
      <w:tr w:rsidR="002B26C1" w:rsidRPr="009B0B56" w14:paraId="257D3794" w14:textId="17B0C128" w:rsidTr="00CC45A0">
        <w:tc>
          <w:tcPr>
            <w:tcW w:w="4680" w:type="dxa"/>
            <w:shd w:val="clear" w:color="auto" w:fill="auto"/>
          </w:tcPr>
          <w:p w14:paraId="4697FF55" w14:textId="27E146EA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HAP releases</w:t>
            </w: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 </w:t>
            </w:r>
            <w:r w:rsidR="00D51DBE">
              <w:rPr>
                <w:rFonts w:ascii="Calibri" w:hAnsi="Calibri"/>
                <w:sz w:val="20"/>
                <w:szCs w:val="20"/>
                <w:lang w:bidi="x-none"/>
              </w:rPr>
              <w:t xml:space="preserve">initial </w:t>
            </w: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notice of local CoC evaluation/application process </w:t>
            </w:r>
          </w:p>
        </w:tc>
        <w:tc>
          <w:tcPr>
            <w:tcW w:w="4663" w:type="dxa"/>
            <w:shd w:val="clear" w:color="auto" w:fill="auto"/>
          </w:tcPr>
          <w:p w14:paraId="502B3AD7" w14:textId="2ECDCA93" w:rsidR="002B26C1" w:rsidRPr="009B0B56" w:rsidRDefault="00D51DBE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July 14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E6E6E6"/>
          </w:tcPr>
          <w:p w14:paraId="72EECFE7" w14:textId="4A133FC3" w:rsidR="002B26C1" w:rsidRPr="00443A72" w:rsidRDefault="006A0432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443A72">
              <w:rPr>
                <w:rFonts w:ascii="Calibri" w:hAnsi="Calibri"/>
                <w:sz w:val="20"/>
                <w:szCs w:val="20"/>
                <w:lang w:bidi="x-none"/>
              </w:rPr>
              <w:t>Done</w:t>
            </w:r>
          </w:p>
        </w:tc>
      </w:tr>
      <w:tr w:rsidR="008117F9" w:rsidRPr="009B0B56" w14:paraId="7B0B3F84" w14:textId="77777777" w:rsidTr="00443A72">
        <w:tc>
          <w:tcPr>
            <w:tcW w:w="4680" w:type="dxa"/>
            <w:shd w:val="clear" w:color="auto" w:fill="auto"/>
          </w:tcPr>
          <w:p w14:paraId="795B8364" w14:textId="77777777" w:rsidR="008117F9" w:rsidRPr="009B0B56" w:rsidRDefault="008117F9" w:rsidP="00E9742B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b/>
                <w:sz w:val="20"/>
                <w:szCs w:val="20"/>
                <w:lang w:bidi="x-none"/>
              </w:rPr>
              <w:t>HUD releases 2016 CoC e-snaps applications</w:t>
            </w:r>
          </w:p>
        </w:tc>
        <w:tc>
          <w:tcPr>
            <w:tcW w:w="4663" w:type="dxa"/>
            <w:shd w:val="clear" w:color="auto" w:fill="auto"/>
          </w:tcPr>
          <w:p w14:paraId="46CC8525" w14:textId="70EE20F1" w:rsidR="008117F9" w:rsidRPr="009B0B56" w:rsidRDefault="00CC45A0" w:rsidP="00E9742B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July 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E6E6E6"/>
          </w:tcPr>
          <w:p w14:paraId="2F1CB2FC" w14:textId="7A72ABFE" w:rsidR="008117F9" w:rsidRPr="00443A72" w:rsidRDefault="00CC45A0" w:rsidP="00E9742B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443A72">
              <w:rPr>
                <w:rFonts w:ascii="Calibri" w:hAnsi="Calibri"/>
                <w:sz w:val="20"/>
                <w:szCs w:val="20"/>
                <w:lang w:bidi="x-none"/>
              </w:rPr>
              <w:t>Done</w:t>
            </w:r>
          </w:p>
        </w:tc>
      </w:tr>
      <w:tr w:rsidR="002B26C1" w:rsidRPr="009B0B56" w14:paraId="2E441474" w14:textId="4EAACFD9" w:rsidTr="00443A72">
        <w:tc>
          <w:tcPr>
            <w:tcW w:w="4680" w:type="dxa"/>
            <w:shd w:val="clear" w:color="auto" w:fill="auto"/>
          </w:tcPr>
          <w:p w14:paraId="4FC9EAB4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Technical assistance available from Tony Gardner</w:t>
            </w:r>
          </w:p>
        </w:tc>
        <w:tc>
          <w:tcPr>
            <w:tcW w:w="4663" w:type="dxa"/>
            <w:shd w:val="clear" w:color="auto" w:fill="auto"/>
          </w:tcPr>
          <w:p w14:paraId="103DCF3D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Ongoing</w:t>
            </w:r>
          </w:p>
        </w:tc>
        <w:tc>
          <w:tcPr>
            <w:tcW w:w="1655" w:type="dxa"/>
            <w:shd w:val="clear" w:color="auto" w:fill="E6E6E6"/>
          </w:tcPr>
          <w:p w14:paraId="09F48649" w14:textId="6D8DF621" w:rsidR="002B26C1" w:rsidRPr="00443A72" w:rsidRDefault="00443A72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443A72">
              <w:rPr>
                <w:rFonts w:ascii="Calibri" w:hAnsi="Calibri"/>
                <w:sz w:val="20"/>
                <w:szCs w:val="20"/>
                <w:lang w:bidi="x-none"/>
              </w:rPr>
              <w:t>Done</w:t>
            </w:r>
          </w:p>
        </w:tc>
      </w:tr>
      <w:tr w:rsidR="002B26C1" w:rsidRPr="009B0B56" w14:paraId="4DB32029" w14:textId="4536D524" w:rsidTr="00443A72">
        <w:tc>
          <w:tcPr>
            <w:tcW w:w="4680" w:type="dxa"/>
            <w:shd w:val="clear" w:color="auto" w:fill="auto"/>
          </w:tcPr>
          <w:p w14:paraId="1856C830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b/>
                <w:sz w:val="20"/>
                <w:szCs w:val="20"/>
                <w:lang w:bidi="x-none"/>
              </w:rPr>
              <w:t>Applicant TA Session</w:t>
            </w: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 to review HUD and local requirements &amp; Santa Cruz local application</w:t>
            </w:r>
          </w:p>
        </w:tc>
        <w:tc>
          <w:tcPr>
            <w:tcW w:w="4663" w:type="dxa"/>
            <w:shd w:val="clear" w:color="auto" w:fill="auto"/>
          </w:tcPr>
          <w:p w14:paraId="544A9E98" w14:textId="3DEA6DB7" w:rsidR="002B26C1" w:rsidRPr="009B0B56" w:rsidRDefault="00E9742B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July 26, 10</w:t>
            </w:r>
            <w:r w:rsidR="00D51DBE">
              <w:rPr>
                <w:rFonts w:ascii="Calibri" w:hAnsi="Calibri"/>
                <w:b/>
                <w:sz w:val="20"/>
                <w:szCs w:val="20"/>
                <w:lang w:bidi="x-none"/>
              </w:rPr>
              <w:t>:30-</w:t>
            </w: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1</w:t>
            </w:r>
            <w:r w:rsidR="00D51DBE">
              <w:rPr>
                <w:rFonts w:ascii="Calibri" w:hAnsi="Calibri"/>
                <w:b/>
                <w:sz w:val="20"/>
                <w:szCs w:val="20"/>
                <w:lang w:bidi="x-none"/>
              </w:rPr>
              <w:t>2:00</w:t>
            </w:r>
            <w:r w:rsidR="002B26C1" w:rsidRPr="009B0B56">
              <w:rPr>
                <w:rFonts w:ascii="Calibri" w:hAnsi="Calibri"/>
                <w:sz w:val="20"/>
                <w:szCs w:val="20"/>
                <w:lang w:bidi="x-none"/>
              </w:rPr>
              <w:t>, Location: United Way, 4450 Capitola Rd., Capitola</w:t>
            </w:r>
          </w:p>
        </w:tc>
        <w:tc>
          <w:tcPr>
            <w:tcW w:w="1655" w:type="dxa"/>
            <w:shd w:val="clear" w:color="auto" w:fill="E6E6E6"/>
          </w:tcPr>
          <w:p w14:paraId="639B9008" w14:textId="2379EF13" w:rsidR="002B26C1" w:rsidRPr="00443A72" w:rsidRDefault="00443A72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443A72">
              <w:rPr>
                <w:rFonts w:ascii="Calibri" w:hAnsi="Calibri"/>
                <w:sz w:val="20"/>
                <w:szCs w:val="20"/>
                <w:lang w:bidi="x-none"/>
              </w:rPr>
              <w:t>Done</w:t>
            </w:r>
          </w:p>
        </w:tc>
      </w:tr>
      <w:tr w:rsidR="002B26C1" w:rsidRPr="009B0B56" w14:paraId="66FD5C74" w14:textId="74A58833" w:rsidTr="002462C6">
        <w:tc>
          <w:tcPr>
            <w:tcW w:w="4680" w:type="dxa"/>
            <w:shd w:val="clear" w:color="auto" w:fill="auto"/>
          </w:tcPr>
          <w:p w14:paraId="152DEF8F" w14:textId="77777777" w:rsidR="002B26C1" w:rsidRPr="009B0B56" w:rsidRDefault="002B26C1" w:rsidP="002B26C1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Deadline for applicants to submit local evaluation materials (via e-mail) and HUD applications (via e-snaps) </w:t>
            </w: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(at least 30 days before HUD deadline)</w:t>
            </w:r>
          </w:p>
        </w:tc>
        <w:tc>
          <w:tcPr>
            <w:tcW w:w="4663" w:type="dxa"/>
            <w:shd w:val="clear" w:color="auto" w:fill="auto"/>
          </w:tcPr>
          <w:p w14:paraId="1E4C0F8D" w14:textId="23C8422A" w:rsidR="002B26C1" w:rsidRPr="009B0B56" w:rsidRDefault="00D51DBE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August 23</w:t>
            </w:r>
            <w:r w:rsidR="002B26C1" w:rsidRPr="009B0B56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, 5 pm </w:t>
            </w:r>
            <w:r w:rsidR="002B26C1"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submit local applications to </w:t>
            </w:r>
            <w:hyperlink r:id="rId7" w:history="1">
              <w:r w:rsidR="002B26C1" w:rsidRPr="009B0B56">
                <w:rPr>
                  <w:rStyle w:val="Hyperlink"/>
                  <w:rFonts w:ascii="Calibri" w:hAnsi="Calibri"/>
                  <w:sz w:val="20"/>
                  <w:szCs w:val="20"/>
                  <w:lang w:bidi="x-none"/>
                </w:rPr>
                <w:t>julie.conway@santacruzcounty.us</w:t>
              </w:r>
            </w:hyperlink>
            <w:r w:rsidR="002B26C1"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  and </w:t>
            </w:r>
            <w:hyperlink r:id="rId8" w:history="1">
              <w:r w:rsidR="002B26C1" w:rsidRPr="009B0B56">
                <w:rPr>
                  <w:rStyle w:val="Hyperlink"/>
                  <w:rFonts w:ascii="Calibri" w:hAnsi="Calibri"/>
                  <w:sz w:val="20"/>
                  <w:szCs w:val="20"/>
                  <w:lang w:bidi="x-none"/>
                </w:rPr>
                <w:t>tonygardnerconsulting@yahoo.com</w:t>
              </w:r>
            </w:hyperlink>
            <w:r w:rsidR="002B26C1"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. Submit HUD e-snaps application at </w:t>
            </w:r>
            <w:hyperlink r:id="rId9" w:history="1">
              <w:r w:rsidR="002B26C1" w:rsidRPr="009B0B56">
                <w:rPr>
                  <w:rStyle w:val="Hyperlink"/>
                  <w:rFonts w:ascii="Calibri" w:hAnsi="Calibri"/>
                  <w:sz w:val="20"/>
                  <w:szCs w:val="20"/>
                  <w:lang w:bidi="x-none"/>
                </w:rPr>
                <w:t>https://www.hudexchange.info</w:t>
              </w:r>
            </w:hyperlink>
            <w:r w:rsidR="002B26C1"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</w:tcPr>
          <w:p w14:paraId="0D671054" w14:textId="77777777" w:rsidR="002B26C1" w:rsidRPr="009B0B56" w:rsidRDefault="002B26C1" w:rsidP="002B26C1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</w:p>
        </w:tc>
      </w:tr>
      <w:tr w:rsidR="002B26C1" w:rsidRPr="009B0B56" w14:paraId="473F4243" w14:textId="45EA2D79" w:rsidTr="002462C6">
        <w:tc>
          <w:tcPr>
            <w:tcW w:w="4680" w:type="dxa"/>
            <w:shd w:val="clear" w:color="auto" w:fill="auto"/>
          </w:tcPr>
          <w:p w14:paraId="20D0ABE1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HAP meeting </w:t>
            </w: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(includes work on CoC Application questions)</w:t>
            </w:r>
          </w:p>
        </w:tc>
        <w:tc>
          <w:tcPr>
            <w:tcW w:w="4663" w:type="dxa"/>
            <w:shd w:val="clear" w:color="auto" w:fill="auto"/>
          </w:tcPr>
          <w:p w14:paraId="005E9322" w14:textId="7E0538BB" w:rsidR="002B26C1" w:rsidRPr="009B0B56" w:rsidRDefault="00112E10" w:rsidP="000F1703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0F1703">
              <w:rPr>
                <w:rFonts w:ascii="Calibri" w:hAnsi="Calibri"/>
                <w:b/>
                <w:sz w:val="20"/>
                <w:szCs w:val="20"/>
                <w:lang w:bidi="x-none"/>
              </w:rPr>
              <w:t>Sept</w:t>
            </w:r>
            <w:r w:rsidR="000F1703" w:rsidRPr="000F1703">
              <w:rPr>
                <w:rFonts w:ascii="Calibri" w:hAnsi="Calibri"/>
                <w:b/>
                <w:sz w:val="20"/>
                <w:szCs w:val="20"/>
                <w:lang w:bidi="x-none"/>
              </w:rPr>
              <w:t>ember</w:t>
            </w:r>
            <w:r w:rsidRPr="000F1703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 6</w:t>
            </w:r>
            <w:r w:rsidR="002B26C1" w:rsidRPr="000F1703">
              <w:rPr>
                <w:rFonts w:ascii="Calibri" w:hAnsi="Calibri"/>
                <w:b/>
                <w:sz w:val="20"/>
                <w:szCs w:val="20"/>
                <w:lang w:bidi="x-none"/>
              </w:rPr>
              <w:t>, 10:30-12:00</w:t>
            </w:r>
            <w:r w:rsidR="002B26C1" w:rsidRPr="00644FC5">
              <w:rPr>
                <w:rFonts w:ascii="Calibri" w:hAnsi="Calibri"/>
                <w:sz w:val="20"/>
                <w:szCs w:val="20"/>
                <w:lang w:bidi="x-none"/>
              </w:rPr>
              <w:t>,</w:t>
            </w:r>
            <w:r w:rsidR="002B26C1"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 </w:t>
            </w:r>
            <w:r w:rsidR="000F1703" w:rsidRPr="009B0B56">
              <w:rPr>
                <w:rFonts w:ascii="Calibri" w:hAnsi="Calibri"/>
                <w:sz w:val="20"/>
                <w:szCs w:val="20"/>
                <w:lang w:bidi="x-none"/>
              </w:rPr>
              <w:t>Location: United Way, 4450 Capitola Rd., Capitola</w:t>
            </w:r>
          </w:p>
        </w:tc>
        <w:tc>
          <w:tcPr>
            <w:tcW w:w="1655" w:type="dxa"/>
            <w:shd w:val="clear" w:color="auto" w:fill="auto"/>
          </w:tcPr>
          <w:p w14:paraId="43DF5552" w14:textId="77777777" w:rsidR="002B26C1" w:rsidRPr="009B0B56" w:rsidRDefault="002B26C1" w:rsidP="002B26C1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</w:p>
        </w:tc>
      </w:tr>
      <w:tr w:rsidR="002B26C1" w:rsidRPr="009B0B56" w14:paraId="186B4AAF" w14:textId="69D906E0" w:rsidTr="002462C6">
        <w:tc>
          <w:tcPr>
            <w:tcW w:w="4680" w:type="dxa"/>
            <w:shd w:val="clear" w:color="auto" w:fill="auto"/>
          </w:tcPr>
          <w:p w14:paraId="60DDE60C" w14:textId="77777777" w:rsidR="002B26C1" w:rsidRPr="009B0B56" w:rsidRDefault="002B26C1" w:rsidP="002B26C1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b/>
                <w:sz w:val="20"/>
                <w:szCs w:val="20"/>
                <w:lang w:bidi="x-none"/>
              </w:rPr>
              <w:t>CoC Board meeting to evaluate, approve or reject, and rank/tier CoC projects</w:t>
            </w:r>
          </w:p>
        </w:tc>
        <w:tc>
          <w:tcPr>
            <w:tcW w:w="4663" w:type="dxa"/>
            <w:shd w:val="clear" w:color="auto" w:fill="auto"/>
          </w:tcPr>
          <w:p w14:paraId="3BCF3D31" w14:textId="49AA82F3" w:rsidR="002B26C1" w:rsidRPr="009B0B56" w:rsidRDefault="000F1703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0F1703">
              <w:rPr>
                <w:rFonts w:ascii="Calibri" w:hAnsi="Calibri"/>
                <w:b/>
                <w:sz w:val="20"/>
                <w:szCs w:val="20"/>
                <w:lang w:bidi="x-none"/>
              </w:rPr>
              <w:t>September 6, 10:30-12:00</w:t>
            </w:r>
            <w:r w:rsidRPr="00644FC5">
              <w:rPr>
                <w:rFonts w:ascii="Calibri" w:hAnsi="Calibri"/>
                <w:sz w:val="20"/>
                <w:szCs w:val="20"/>
                <w:lang w:bidi="x-none"/>
              </w:rPr>
              <w:t>,</w:t>
            </w: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 Location: United Way, 4450 Capitola Rd., Capitola</w:t>
            </w:r>
          </w:p>
        </w:tc>
        <w:tc>
          <w:tcPr>
            <w:tcW w:w="1655" w:type="dxa"/>
            <w:shd w:val="clear" w:color="auto" w:fill="auto"/>
          </w:tcPr>
          <w:p w14:paraId="45E9A248" w14:textId="77777777" w:rsidR="002B26C1" w:rsidRPr="009B0B56" w:rsidRDefault="002B26C1" w:rsidP="002B26C1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</w:p>
        </w:tc>
      </w:tr>
      <w:tr w:rsidR="002B26C1" w:rsidRPr="009B0B56" w14:paraId="55C3659D" w14:textId="2F037501" w:rsidTr="002462C6">
        <w:tc>
          <w:tcPr>
            <w:tcW w:w="4680" w:type="dxa"/>
            <w:shd w:val="clear" w:color="auto" w:fill="auto"/>
          </w:tcPr>
          <w:p w14:paraId="671CD2CB" w14:textId="09B85017" w:rsidR="002B26C1" w:rsidRPr="009B0B56" w:rsidRDefault="002462C6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Written </w:t>
            </w:r>
            <w:r w:rsidR="00860890">
              <w:rPr>
                <w:rFonts w:ascii="Calibri" w:hAnsi="Calibri"/>
                <w:sz w:val="20"/>
                <w:szCs w:val="20"/>
                <w:lang w:bidi="x-none"/>
              </w:rPr>
              <w:t xml:space="preserve">approvals/denials/reductions </w:t>
            </w:r>
            <w:r w:rsidR="002B26C1" w:rsidRPr="009B0B56">
              <w:rPr>
                <w:rFonts w:ascii="Calibri" w:hAnsi="Calibri"/>
                <w:sz w:val="20"/>
                <w:szCs w:val="20"/>
                <w:lang w:bidi="x-none"/>
              </w:rPr>
              <w:t>with explanation sent to applicants</w:t>
            </w:r>
            <w:r w:rsidR="002B26C1">
              <w:rPr>
                <w:rFonts w:ascii="Calibri" w:hAnsi="Calibri"/>
                <w:sz w:val="20"/>
                <w:szCs w:val="20"/>
                <w:lang w:bidi="x-none"/>
              </w:rPr>
              <w:t xml:space="preserve"> </w:t>
            </w:r>
            <w:r w:rsidR="002B26C1" w:rsidRPr="009B0B56">
              <w:rPr>
                <w:rFonts w:ascii="Calibri" w:hAnsi="Calibri"/>
                <w:sz w:val="20"/>
                <w:szCs w:val="20"/>
                <w:lang w:bidi="x-none"/>
              </w:rPr>
              <w:t>(at least 15 days before HUD deadline)</w:t>
            </w:r>
          </w:p>
        </w:tc>
        <w:tc>
          <w:tcPr>
            <w:tcW w:w="4663" w:type="dxa"/>
            <w:shd w:val="clear" w:color="auto" w:fill="auto"/>
          </w:tcPr>
          <w:p w14:paraId="57CFB0ED" w14:textId="040B6983" w:rsidR="002B26C1" w:rsidRPr="009B0B56" w:rsidRDefault="00112E10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September </w:t>
            </w:r>
            <w:r w:rsidR="000F1703">
              <w:rPr>
                <w:rFonts w:ascii="Calibri" w:hAnsi="Calibri"/>
                <w:sz w:val="20"/>
                <w:szCs w:val="20"/>
                <w:lang w:bidi="x-none"/>
              </w:rPr>
              <w:t>7</w:t>
            </w:r>
          </w:p>
        </w:tc>
        <w:tc>
          <w:tcPr>
            <w:tcW w:w="1655" w:type="dxa"/>
            <w:shd w:val="clear" w:color="auto" w:fill="auto"/>
          </w:tcPr>
          <w:p w14:paraId="32AC80D4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</w:p>
        </w:tc>
      </w:tr>
      <w:tr w:rsidR="00D51DBE" w:rsidRPr="009B0B56" w14:paraId="5908CAB4" w14:textId="77777777" w:rsidTr="002462C6">
        <w:tc>
          <w:tcPr>
            <w:tcW w:w="4680" w:type="dxa"/>
            <w:shd w:val="clear" w:color="auto" w:fill="auto"/>
          </w:tcPr>
          <w:p w14:paraId="1E2874F5" w14:textId="77777777" w:rsidR="00D51DBE" w:rsidRPr="009B0B56" w:rsidRDefault="00D51DBE" w:rsidP="006A0432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Applicant appeals period</w:t>
            </w:r>
          </w:p>
        </w:tc>
        <w:tc>
          <w:tcPr>
            <w:tcW w:w="4663" w:type="dxa"/>
            <w:shd w:val="clear" w:color="auto" w:fill="auto"/>
          </w:tcPr>
          <w:p w14:paraId="111B9946" w14:textId="733AD701" w:rsidR="00D51DBE" w:rsidRPr="009B0B56" w:rsidRDefault="000F1703" w:rsidP="006A0432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September 7</w:t>
            </w:r>
            <w:r w:rsidR="00112E10">
              <w:rPr>
                <w:rFonts w:ascii="Calibri" w:hAnsi="Calibri"/>
                <w:sz w:val="20"/>
                <w:szCs w:val="20"/>
                <w:lang w:bidi="x-none"/>
              </w:rPr>
              <w:t xml:space="preserve"> -</w:t>
            </w: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 September 11</w:t>
            </w:r>
            <w:r w:rsidR="00677DF1">
              <w:rPr>
                <w:rFonts w:ascii="Calibri" w:hAnsi="Calibri"/>
                <w:sz w:val="20"/>
                <w:szCs w:val="20"/>
                <w:lang w:bidi="x-none"/>
              </w:rPr>
              <w:t xml:space="preserve"> </w:t>
            </w:r>
            <w:r w:rsidR="00D51DBE"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submit written appeals to applications to </w:t>
            </w:r>
            <w:hyperlink r:id="rId10" w:history="1">
              <w:r w:rsidR="00D51DBE" w:rsidRPr="009B0B56">
                <w:rPr>
                  <w:rStyle w:val="Hyperlink"/>
                  <w:rFonts w:ascii="Calibri" w:hAnsi="Calibri"/>
                  <w:sz w:val="20"/>
                  <w:szCs w:val="20"/>
                  <w:lang w:bidi="x-none"/>
                </w:rPr>
                <w:t>julie.conway@santacruzcounty.us</w:t>
              </w:r>
            </w:hyperlink>
            <w:r w:rsidR="00D51DBE"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 and </w:t>
            </w:r>
            <w:hyperlink r:id="rId11" w:history="1">
              <w:r w:rsidR="00D51DBE" w:rsidRPr="009B0B56">
                <w:rPr>
                  <w:rStyle w:val="Hyperlink"/>
                  <w:rFonts w:ascii="Calibri" w:hAnsi="Calibri"/>
                  <w:sz w:val="20"/>
                  <w:szCs w:val="20"/>
                  <w:lang w:bidi="x-none"/>
                </w:rPr>
                <w:t>tonygardnerconsulting@yahoo.com</w:t>
              </w:r>
            </w:hyperlink>
            <w:r w:rsidR="00D51DBE" w:rsidRPr="009B0B56">
              <w:rPr>
                <w:rFonts w:ascii="Calibri" w:hAnsi="Calibri"/>
                <w:sz w:val="20"/>
                <w:szCs w:val="20"/>
                <w:lang w:bidi="x-none"/>
              </w:rPr>
              <w:t>.</w:t>
            </w:r>
          </w:p>
        </w:tc>
        <w:tc>
          <w:tcPr>
            <w:tcW w:w="1655" w:type="dxa"/>
            <w:shd w:val="clear" w:color="auto" w:fill="auto"/>
          </w:tcPr>
          <w:p w14:paraId="6AD3C3BB" w14:textId="77777777" w:rsidR="00D51DBE" w:rsidRPr="009B0B56" w:rsidRDefault="00D51DBE" w:rsidP="006A0432">
            <w:pPr>
              <w:rPr>
                <w:rFonts w:ascii="Calibri" w:hAnsi="Calibri"/>
                <w:sz w:val="20"/>
                <w:szCs w:val="20"/>
                <w:lang w:bidi="x-none"/>
              </w:rPr>
            </w:pPr>
          </w:p>
        </w:tc>
      </w:tr>
      <w:tr w:rsidR="002B26C1" w:rsidRPr="009B0B56" w14:paraId="73A8B2FB" w14:textId="114A73C4" w:rsidTr="002462C6">
        <w:tc>
          <w:tcPr>
            <w:tcW w:w="4680" w:type="dxa"/>
            <w:shd w:val="clear" w:color="auto" w:fill="auto"/>
          </w:tcPr>
          <w:p w14:paraId="375C15DF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Deadline for HAP to send appeals decisions</w:t>
            </w:r>
          </w:p>
        </w:tc>
        <w:tc>
          <w:tcPr>
            <w:tcW w:w="4663" w:type="dxa"/>
            <w:shd w:val="clear" w:color="auto" w:fill="auto"/>
          </w:tcPr>
          <w:p w14:paraId="62BFD058" w14:textId="330B6590" w:rsidR="002B26C1" w:rsidRPr="009B0B56" w:rsidRDefault="000F1703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September 12</w:t>
            </w:r>
            <w:r w:rsidR="002B26C1"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 (appellants to receive written e-mailed decision with explanation)</w:t>
            </w:r>
          </w:p>
        </w:tc>
        <w:tc>
          <w:tcPr>
            <w:tcW w:w="1655" w:type="dxa"/>
            <w:shd w:val="clear" w:color="auto" w:fill="auto"/>
          </w:tcPr>
          <w:p w14:paraId="7047E54A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</w:p>
        </w:tc>
      </w:tr>
      <w:tr w:rsidR="002B26C1" w:rsidRPr="009B0B56" w14:paraId="1E6DF884" w14:textId="113445D7" w:rsidTr="002462C6">
        <w:tc>
          <w:tcPr>
            <w:tcW w:w="4680" w:type="dxa"/>
            <w:shd w:val="clear" w:color="auto" w:fill="auto"/>
          </w:tcPr>
          <w:p w14:paraId="29E7406B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Project Priorities List finalized</w:t>
            </w:r>
          </w:p>
        </w:tc>
        <w:tc>
          <w:tcPr>
            <w:tcW w:w="4663" w:type="dxa"/>
            <w:shd w:val="clear" w:color="auto" w:fill="auto"/>
          </w:tcPr>
          <w:p w14:paraId="279F1ED1" w14:textId="697AA336" w:rsidR="002B26C1" w:rsidRPr="009B0B56" w:rsidRDefault="00677DF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September </w:t>
            </w:r>
            <w:r w:rsidR="000F1703">
              <w:rPr>
                <w:rFonts w:ascii="Calibri" w:hAnsi="Calibri"/>
                <w:sz w:val="20"/>
                <w:szCs w:val="20"/>
                <w:lang w:bidi="x-none"/>
              </w:rPr>
              <w:t>13</w:t>
            </w:r>
          </w:p>
        </w:tc>
        <w:tc>
          <w:tcPr>
            <w:tcW w:w="1655" w:type="dxa"/>
            <w:shd w:val="clear" w:color="auto" w:fill="auto"/>
          </w:tcPr>
          <w:p w14:paraId="1D68099F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</w:p>
        </w:tc>
      </w:tr>
      <w:tr w:rsidR="00677DF1" w:rsidRPr="009B0B56" w14:paraId="3581A90A" w14:textId="77777777" w:rsidTr="00E9742B">
        <w:tc>
          <w:tcPr>
            <w:tcW w:w="4680" w:type="dxa"/>
            <w:shd w:val="clear" w:color="auto" w:fill="auto"/>
          </w:tcPr>
          <w:p w14:paraId="3C0BF3FA" w14:textId="77777777" w:rsidR="00677DF1" w:rsidRPr="009B0B56" w:rsidRDefault="00677DF1" w:rsidP="00E9742B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HAP submits BO</w:t>
            </w: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S letter re </w:t>
            </w: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>CoC application</w:t>
            </w: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 approval</w:t>
            </w:r>
          </w:p>
        </w:tc>
        <w:tc>
          <w:tcPr>
            <w:tcW w:w="4663" w:type="dxa"/>
            <w:shd w:val="clear" w:color="auto" w:fill="auto"/>
          </w:tcPr>
          <w:p w14:paraId="319B9D81" w14:textId="7425EFCA" w:rsidR="00677DF1" w:rsidRPr="009B0B56" w:rsidRDefault="00677DF1" w:rsidP="00E9742B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September </w:t>
            </w:r>
            <w:r w:rsidR="00E9742B">
              <w:rPr>
                <w:rFonts w:ascii="Calibri" w:hAnsi="Calibri"/>
                <w:sz w:val="20"/>
                <w:szCs w:val="20"/>
                <w:lang w:bidi="x-none"/>
              </w:rPr>
              <w:t>13</w:t>
            </w:r>
          </w:p>
        </w:tc>
        <w:tc>
          <w:tcPr>
            <w:tcW w:w="1655" w:type="dxa"/>
            <w:shd w:val="clear" w:color="auto" w:fill="auto"/>
          </w:tcPr>
          <w:p w14:paraId="39F635FB" w14:textId="77777777" w:rsidR="00677DF1" w:rsidRPr="009B0B56" w:rsidRDefault="00677DF1" w:rsidP="00E9742B">
            <w:pPr>
              <w:rPr>
                <w:rFonts w:ascii="Calibri" w:hAnsi="Calibri"/>
                <w:sz w:val="20"/>
                <w:szCs w:val="20"/>
                <w:lang w:bidi="x-none"/>
              </w:rPr>
            </w:pPr>
          </w:p>
        </w:tc>
      </w:tr>
      <w:tr w:rsidR="00677DF1" w:rsidRPr="009B0B56" w14:paraId="336708A2" w14:textId="77777777" w:rsidTr="00E9742B">
        <w:tc>
          <w:tcPr>
            <w:tcW w:w="4680" w:type="dxa"/>
            <w:shd w:val="clear" w:color="auto" w:fill="auto"/>
          </w:tcPr>
          <w:p w14:paraId="33C77546" w14:textId="77777777" w:rsidR="00677DF1" w:rsidRPr="009B0B56" w:rsidRDefault="00677DF1" w:rsidP="00E9742B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</w:rPr>
              <w:t>BOS approval of CoC application</w:t>
            </w:r>
          </w:p>
        </w:tc>
        <w:tc>
          <w:tcPr>
            <w:tcW w:w="4663" w:type="dxa"/>
            <w:shd w:val="clear" w:color="auto" w:fill="auto"/>
          </w:tcPr>
          <w:p w14:paraId="05EAC1F2" w14:textId="77777777" w:rsidR="00677DF1" w:rsidRPr="009B0B56" w:rsidRDefault="00677DF1" w:rsidP="00E9742B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September 26</w:t>
            </w:r>
          </w:p>
        </w:tc>
        <w:tc>
          <w:tcPr>
            <w:tcW w:w="1655" w:type="dxa"/>
            <w:shd w:val="clear" w:color="auto" w:fill="auto"/>
          </w:tcPr>
          <w:p w14:paraId="1A1F0748" w14:textId="77777777" w:rsidR="00677DF1" w:rsidRPr="009B0B56" w:rsidRDefault="00677DF1" w:rsidP="00E9742B">
            <w:pPr>
              <w:rPr>
                <w:rFonts w:ascii="Calibri" w:hAnsi="Calibri"/>
                <w:sz w:val="20"/>
                <w:szCs w:val="20"/>
                <w:lang w:bidi="x-none"/>
              </w:rPr>
            </w:pPr>
          </w:p>
        </w:tc>
      </w:tr>
      <w:tr w:rsidR="002B26C1" w:rsidRPr="009B0B56" w14:paraId="694B2018" w14:textId="3B45DB4C" w:rsidTr="002462C6">
        <w:tc>
          <w:tcPr>
            <w:tcW w:w="4680" w:type="dxa"/>
            <w:shd w:val="clear" w:color="auto" w:fill="auto"/>
          </w:tcPr>
          <w:p w14:paraId="7BE3A974" w14:textId="12C30087" w:rsidR="002B26C1" w:rsidRPr="009B0B56" w:rsidRDefault="002B26C1" w:rsidP="00677DF1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Deadline for HAP to post CoC Application on website and to notify community members it is a available </w:t>
            </w:r>
          </w:p>
        </w:tc>
        <w:tc>
          <w:tcPr>
            <w:tcW w:w="4663" w:type="dxa"/>
            <w:shd w:val="clear" w:color="auto" w:fill="auto"/>
          </w:tcPr>
          <w:p w14:paraId="67E8CE9C" w14:textId="68DDB281" w:rsidR="002B26C1" w:rsidRPr="009B0B56" w:rsidRDefault="002B26C1" w:rsidP="00D51DBE">
            <w:pPr>
              <w:rPr>
                <w:rFonts w:ascii="Calibri" w:hAnsi="Calibri"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sz w:val="20"/>
                <w:szCs w:val="20"/>
                <w:lang w:bidi="x-none"/>
              </w:rPr>
              <w:t xml:space="preserve">September </w:t>
            </w:r>
            <w:r w:rsidR="00D51DBE">
              <w:rPr>
                <w:rFonts w:ascii="Calibri" w:hAnsi="Calibri"/>
                <w:sz w:val="20"/>
                <w:szCs w:val="20"/>
                <w:lang w:bidi="x-none"/>
              </w:rPr>
              <w:t>26</w:t>
            </w:r>
            <w:r>
              <w:rPr>
                <w:rFonts w:ascii="Calibri" w:hAnsi="Calibri"/>
                <w:sz w:val="20"/>
                <w:szCs w:val="20"/>
                <w:lang w:bidi="x-none"/>
              </w:rPr>
              <w:t xml:space="preserve"> (2 days before HUD deadline)</w:t>
            </w:r>
          </w:p>
        </w:tc>
        <w:tc>
          <w:tcPr>
            <w:tcW w:w="1655" w:type="dxa"/>
            <w:shd w:val="clear" w:color="auto" w:fill="auto"/>
          </w:tcPr>
          <w:p w14:paraId="01FAD7D7" w14:textId="77777777" w:rsidR="002B26C1" w:rsidRPr="009B0B56" w:rsidRDefault="002B26C1" w:rsidP="002B26C1">
            <w:pPr>
              <w:rPr>
                <w:rFonts w:ascii="Calibri" w:hAnsi="Calibri"/>
                <w:sz w:val="20"/>
                <w:szCs w:val="20"/>
                <w:lang w:bidi="x-none"/>
              </w:rPr>
            </w:pPr>
          </w:p>
        </w:tc>
      </w:tr>
      <w:tr w:rsidR="002B26C1" w:rsidRPr="009B0B56" w14:paraId="28F3F158" w14:textId="2BE5C7AC" w:rsidTr="002462C6">
        <w:tc>
          <w:tcPr>
            <w:tcW w:w="4680" w:type="dxa"/>
            <w:shd w:val="clear" w:color="auto" w:fill="auto"/>
          </w:tcPr>
          <w:p w14:paraId="46D09267" w14:textId="77777777" w:rsidR="002B26C1" w:rsidRPr="009B0B56" w:rsidRDefault="002B26C1" w:rsidP="002B26C1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 w:rsidRPr="009B0B56">
              <w:rPr>
                <w:rFonts w:ascii="Calibri" w:hAnsi="Calibri"/>
                <w:b/>
                <w:sz w:val="20"/>
                <w:szCs w:val="20"/>
                <w:lang w:bidi="x-none"/>
              </w:rPr>
              <w:t>HUD deadline for submission of consolidated CoC Application in e-snaps</w:t>
            </w:r>
          </w:p>
        </w:tc>
        <w:tc>
          <w:tcPr>
            <w:tcW w:w="4663" w:type="dxa"/>
            <w:shd w:val="clear" w:color="auto" w:fill="auto"/>
          </w:tcPr>
          <w:p w14:paraId="4A8D4745" w14:textId="0EA591DE" w:rsidR="002B26C1" w:rsidRPr="009B0B56" w:rsidRDefault="00D51DBE" w:rsidP="002B26C1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b/>
                <w:sz w:val="20"/>
                <w:szCs w:val="20"/>
                <w:lang w:bidi="x-none"/>
              </w:rPr>
              <w:t>September 28</w:t>
            </w:r>
            <w:r w:rsidR="002B26C1" w:rsidRPr="009B0B56">
              <w:rPr>
                <w:rFonts w:ascii="Calibri" w:hAnsi="Calibri"/>
                <w:b/>
                <w:sz w:val="20"/>
                <w:szCs w:val="20"/>
                <w:lang w:bidi="x-none"/>
              </w:rPr>
              <w:t xml:space="preserve"> 4:59 PST</w:t>
            </w:r>
          </w:p>
        </w:tc>
        <w:tc>
          <w:tcPr>
            <w:tcW w:w="1655" w:type="dxa"/>
            <w:shd w:val="clear" w:color="auto" w:fill="auto"/>
          </w:tcPr>
          <w:p w14:paraId="2929D5F8" w14:textId="77777777" w:rsidR="002B26C1" w:rsidRPr="009B0B56" w:rsidRDefault="002B26C1" w:rsidP="002B26C1">
            <w:pPr>
              <w:rPr>
                <w:rFonts w:ascii="Calibri" w:hAnsi="Calibri"/>
                <w:b/>
                <w:sz w:val="20"/>
                <w:szCs w:val="20"/>
                <w:lang w:bidi="x-none"/>
              </w:rPr>
            </w:pPr>
          </w:p>
        </w:tc>
      </w:tr>
    </w:tbl>
    <w:p w14:paraId="317E7730" w14:textId="77777777" w:rsidR="002B26C1" w:rsidRDefault="002B26C1"/>
    <w:sectPr w:rsidR="002B26C1" w:rsidSect="00B560D5"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440B2" w14:textId="77777777" w:rsidR="00CE4F12" w:rsidRDefault="00CE4F12" w:rsidP="00321A7E">
      <w:r>
        <w:separator/>
      </w:r>
    </w:p>
  </w:endnote>
  <w:endnote w:type="continuationSeparator" w:id="0">
    <w:p w14:paraId="076A8EE8" w14:textId="77777777" w:rsidR="00CE4F12" w:rsidRDefault="00CE4F12" w:rsidP="0032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7268D" w14:textId="73D3956F" w:rsidR="00E9742B" w:rsidRPr="00321A7E" w:rsidRDefault="000F1703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Updated: July 19</w:t>
    </w:r>
    <w:r w:rsidR="00E9742B">
      <w:rPr>
        <w:rFonts w:asciiTheme="majorHAnsi" w:hAnsiTheme="majorHAnsi"/>
        <w:sz w:val="20"/>
        <w:szCs w:val="20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D164B" w14:textId="77777777" w:rsidR="00CE4F12" w:rsidRDefault="00CE4F12" w:rsidP="00321A7E">
      <w:r>
        <w:separator/>
      </w:r>
    </w:p>
  </w:footnote>
  <w:footnote w:type="continuationSeparator" w:id="0">
    <w:p w14:paraId="39460A3F" w14:textId="77777777" w:rsidR="00CE4F12" w:rsidRDefault="00CE4F12" w:rsidP="00321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D5"/>
    <w:rsid w:val="0002577A"/>
    <w:rsid w:val="00030A9E"/>
    <w:rsid w:val="00042AA2"/>
    <w:rsid w:val="00044F81"/>
    <w:rsid w:val="00047C40"/>
    <w:rsid w:val="00050C04"/>
    <w:rsid w:val="00052E45"/>
    <w:rsid w:val="000703EC"/>
    <w:rsid w:val="00071D7D"/>
    <w:rsid w:val="000936D0"/>
    <w:rsid w:val="00096C61"/>
    <w:rsid w:val="000970E5"/>
    <w:rsid w:val="000A1BBB"/>
    <w:rsid w:val="000A228F"/>
    <w:rsid w:val="000B4568"/>
    <w:rsid w:val="000C41CC"/>
    <w:rsid w:val="000D5333"/>
    <w:rsid w:val="000D65D5"/>
    <w:rsid w:val="000F1703"/>
    <w:rsid w:val="000F5C4F"/>
    <w:rsid w:val="000F7F6A"/>
    <w:rsid w:val="00112E10"/>
    <w:rsid w:val="00125140"/>
    <w:rsid w:val="00132949"/>
    <w:rsid w:val="001409AA"/>
    <w:rsid w:val="00140AB0"/>
    <w:rsid w:val="00151709"/>
    <w:rsid w:val="00160D9C"/>
    <w:rsid w:val="0016250E"/>
    <w:rsid w:val="00162CE8"/>
    <w:rsid w:val="001729B1"/>
    <w:rsid w:val="00180CF7"/>
    <w:rsid w:val="001825D7"/>
    <w:rsid w:val="00184A69"/>
    <w:rsid w:val="00184B1B"/>
    <w:rsid w:val="00191CEE"/>
    <w:rsid w:val="00194DB2"/>
    <w:rsid w:val="001B3192"/>
    <w:rsid w:val="001D1258"/>
    <w:rsid w:val="001D199F"/>
    <w:rsid w:val="001E112F"/>
    <w:rsid w:val="001E2BA8"/>
    <w:rsid w:val="001F5206"/>
    <w:rsid w:val="002016A4"/>
    <w:rsid w:val="002036AD"/>
    <w:rsid w:val="00203B8C"/>
    <w:rsid w:val="0020439F"/>
    <w:rsid w:val="0020763B"/>
    <w:rsid w:val="002342EE"/>
    <w:rsid w:val="00240378"/>
    <w:rsid w:val="002462C6"/>
    <w:rsid w:val="00247001"/>
    <w:rsid w:val="00247519"/>
    <w:rsid w:val="00253183"/>
    <w:rsid w:val="00254DF3"/>
    <w:rsid w:val="002572AC"/>
    <w:rsid w:val="00266788"/>
    <w:rsid w:val="00276DEC"/>
    <w:rsid w:val="002830D2"/>
    <w:rsid w:val="002873EB"/>
    <w:rsid w:val="002970C5"/>
    <w:rsid w:val="002A1F12"/>
    <w:rsid w:val="002A7071"/>
    <w:rsid w:val="002A74A4"/>
    <w:rsid w:val="002B1E31"/>
    <w:rsid w:val="002B26C1"/>
    <w:rsid w:val="002B2DEA"/>
    <w:rsid w:val="002C397A"/>
    <w:rsid w:val="002D3A50"/>
    <w:rsid w:val="002E4AAA"/>
    <w:rsid w:val="002E7E65"/>
    <w:rsid w:val="002F5526"/>
    <w:rsid w:val="002F5E7A"/>
    <w:rsid w:val="002F6BE2"/>
    <w:rsid w:val="00304CA7"/>
    <w:rsid w:val="00305E64"/>
    <w:rsid w:val="00306679"/>
    <w:rsid w:val="00306719"/>
    <w:rsid w:val="00310180"/>
    <w:rsid w:val="0031184B"/>
    <w:rsid w:val="00317D0F"/>
    <w:rsid w:val="00321A7E"/>
    <w:rsid w:val="0032474F"/>
    <w:rsid w:val="0032576F"/>
    <w:rsid w:val="0033574E"/>
    <w:rsid w:val="0034197C"/>
    <w:rsid w:val="00352F1B"/>
    <w:rsid w:val="00357417"/>
    <w:rsid w:val="00357C31"/>
    <w:rsid w:val="00364B54"/>
    <w:rsid w:val="0036652A"/>
    <w:rsid w:val="00366FA8"/>
    <w:rsid w:val="00372D9E"/>
    <w:rsid w:val="00377A92"/>
    <w:rsid w:val="0039749A"/>
    <w:rsid w:val="003A1097"/>
    <w:rsid w:val="003A37DF"/>
    <w:rsid w:val="003A46DE"/>
    <w:rsid w:val="003A51EF"/>
    <w:rsid w:val="003B1F41"/>
    <w:rsid w:val="003B4129"/>
    <w:rsid w:val="003B79E3"/>
    <w:rsid w:val="003C0BC8"/>
    <w:rsid w:val="003C505D"/>
    <w:rsid w:val="003D0D26"/>
    <w:rsid w:val="003D1971"/>
    <w:rsid w:val="003D3ECC"/>
    <w:rsid w:val="004049E7"/>
    <w:rsid w:val="00410E55"/>
    <w:rsid w:val="0041258A"/>
    <w:rsid w:val="00424F3C"/>
    <w:rsid w:val="004274ED"/>
    <w:rsid w:val="004412F5"/>
    <w:rsid w:val="00443A72"/>
    <w:rsid w:val="004511DC"/>
    <w:rsid w:val="0045769E"/>
    <w:rsid w:val="00457E54"/>
    <w:rsid w:val="00462612"/>
    <w:rsid w:val="0046443F"/>
    <w:rsid w:val="0046776E"/>
    <w:rsid w:val="004858DE"/>
    <w:rsid w:val="004876D6"/>
    <w:rsid w:val="004A0EDA"/>
    <w:rsid w:val="004A4047"/>
    <w:rsid w:val="004B5024"/>
    <w:rsid w:val="004C22F0"/>
    <w:rsid w:val="004C5046"/>
    <w:rsid w:val="004D1565"/>
    <w:rsid w:val="004D5B22"/>
    <w:rsid w:val="004E16BF"/>
    <w:rsid w:val="004E27B4"/>
    <w:rsid w:val="004F0F0C"/>
    <w:rsid w:val="004F49F7"/>
    <w:rsid w:val="0050324B"/>
    <w:rsid w:val="00506DB5"/>
    <w:rsid w:val="005477B9"/>
    <w:rsid w:val="00555102"/>
    <w:rsid w:val="005555D6"/>
    <w:rsid w:val="00563BE7"/>
    <w:rsid w:val="00575271"/>
    <w:rsid w:val="0058208E"/>
    <w:rsid w:val="00591BB9"/>
    <w:rsid w:val="005A36E2"/>
    <w:rsid w:val="005A76E8"/>
    <w:rsid w:val="005B13ED"/>
    <w:rsid w:val="005B16AB"/>
    <w:rsid w:val="005B6482"/>
    <w:rsid w:val="005D0C37"/>
    <w:rsid w:val="005E7063"/>
    <w:rsid w:val="005F047C"/>
    <w:rsid w:val="0060263A"/>
    <w:rsid w:val="00604639"/>
    <w:rsid w:val="0060588D"/>
    <w:rsid w:val="0061187D"/>
    <w:rsid w:val="00627344"/>
    <w:rsid w:val="00632E6F"/>
    <w:rsid w:val="00640411"/>
    <w:rsid w:val="00644DE5"/>
    <w:rsid w:val="00644FC5"/>
    <w:rsid w:val="00676342"/>
    <w:rsid w:val="00677DF1"/>
    <w:rsid w:val="0068581C"/>
    <w:rsid w:val="006A0432"/>
    <w:rsid w:val="006B0283"/>
    <w:rsid w:val="006B5131"/>
    <w:rsid w:val="006B77A8"/>
    <w:rsid w:val="006C297B"/>
    <w:rsid w:val="006C34D7"/>
    <w:rsid w:val="006C4300"/>
    <w:rsid w:val="006C58D4"/>
    <w:rsid w:val="006C67B0"/>
    <w:rsid w:val="006E0DA8"/>
    <w:rsid w:val="006E4F24"/>
    <w:rsid w:val="006E71B6"/>
    <w:rsid w:val="006F39A5"/>
    <w:rsid w:val="0070554F"/>
    <w:rsid w:val="007100A3"/>
    <w:rsid w:val="00711821"/>
    <w:rsid w:val="00714C70"/>
    <w:rsid w:val="00720CB9"/>
    <w:rsid w:val="007222F0"/>
    <w:rsid w:val="007270F3"/>
    <w:rsid w:val="00734782"/>
    <w:rsid w:val="00735337"/>
    <w:rsid w:val="00746B27"/>
    <w:rsid w:val="00767172"/>
    <w:rsid w:val="00774D8E"/>
    <w:rsid w:val="00793A47"/>
    <w:rsid w:val="0079545B"/>
    <w:rsid w:val="007B0CA9"/>
    <w:rsid w:val="007B1887"/>
    <w:rsid w:val="007B2B58"/>
    <w:rsid w:val="007B64EF"/>
    <w:rsid w:val="007C3BD4"/>
    <w:rsid w:val="007C4A40"/>
    <w:rsid w:val="007D10C8"/>
    <w:rsid w:val="007D263E"/>
    <w:rsid w:val="007E23F3"/>
    <w:rsid w:val="007F5232"/>
    <w:rsid w:val="008117F9"/>
    <w:rsid w:val="00823FD1"/>
    <w:rsid w:val="0082435A"/>
    <w:rsid w:val="00825800"/>
    <w:rsid w:val="00826BBB"/>
    <w:rsid w:val="008277EB"/>
    <w:rsid w:val="00840F67"/>
    <w:rsid w:val="00845684"/>
    <w:rsid w:val="00852084"/>
    <w:rsid w:val="00856266"/>
    <w:rsid w:val="00860890"/>
    <w:rsid w:val="008611CD"/>
    <w:rsid w:val="00886D6D"/>
    <w:rsid w:val="00891292"/>
    <w:rsid w:val="00891700"/>
    <w:rsid w:val="0089318B"/>
    <w:rsid w:val="008A2B6D"/>
    <w:rsid w:val="008A41DF"/>
    <w:rsid w:val="008A4902"/>
    <w:rsid w:val="008B29E3"/>
    <w:rsid w:val="008B7EC5"/>
    <w:rsid w:val="008C6E10"/>
    <w:rsid w:val="008D5865"/>
    <w:rsid w:val="008E32C5"/>
    <w:rsid w:val="0090081B"/>
    <w:rsid w:val="0090096F"/>
    <w:rsid w:val="00900D66"/>
    <w:rsid w:val="00901D76"/>
    <w:rsid w:val="0091115E"/>
    <w:rsid w:val="00913CED"/>
    <w:rsid w:val="009170CD"/>
    <w:rsid w:val="009212D2"/>
    <w:rsid w:val="009317A2"/>
    <w:rsid w:val="0093249E"/>
    <w:rsid w:val="00934D70"/>
    <w:rsid w:val="00940C6D"/>
    <w:rsid w:val="0094119F"/>
    <w:rsid w:val="0094573F"/>
    <w:rsid w:val="0095231E"/>
    <w:rsid w:val="00960FD3"/>
    <w:rsid w:val="00961ECF"/>
    <w:rsid w:val="0097135B"/>
    <w:rsid w:val="00975547"/>
    <w:rsid w:val="00976B37"/>
    <w:rsid w:val="00977F38"/>
    <w:rsid w:val="00984DAC"/>
    <w:rsid w:val="009866EC"/>
    <w:rsid w:val="009871F9"/>
    <w:rsid w:val="0099241E"/>
    <w:rsid w:val="00994EC0"/>
    <w:rsid w:val="00997935"/>
    <w:rsid w:val="009A19B6"/>
    <w:rsid w:val="009A7DE2"/>
    <w:rsid w:val="009D23FE"/>
    <w:rsid w:val="009F0A43"/>
    <w:rsid w:val="00A0175F"/>
    <w:rsid w:val="00A02611"/>
    <w:rsid w:val="00A03F5C"/>
    <w:rsid w:val="00A05FB8"/>
    <w:rsid w:val="00A16C74"/>
    <w:rsid w:val="00A315F4"/>
    <w:rsid w:val="00A3566A"/>
    <w:rsid w:val="00A37777"/>
    <w:rsid w:val="00A5370D"/>
    <w:rsid w:val="00A54F9C"/>
    <w:rsid w:val="00A64C36"/>
    <w:rsid w:val="00A6685F"/>
    <w:rsid w:val="00A70AFC"/>
    <w:rsid w:val="00A75B28"/>
    <w:rsid w:val="00A84C76"/>
    <w:rsid w:val="00A8710D"/>
    <w:rsid w:val="00AA1B0F"/>
    <w:rsid w:val="00AC1D67"/>
    <w:rsid w:val="00AC516A"/>
    <w:rsid w:val="00AC562A"/>
    <w:rsid w:val="00AC7503"/>
    <w:rsid w:val="00AE3347"/>
    <w:rsid w:val="00AE66AB"/>
    <w:rsid w:val="00AE681D"/>
    <w:rsid w:val="00AF2A3C"/>
    <w:rsid w:val="00AF46FC"/>
    <w:rsid w:val="00B06DCF"/>
    <w:rsid w:val="00B07913"/>
    <w:rsid w:val="00B07DE0"/>
    <w:rsid w:val="00B21FF7"/>
    <w:rsid w:val="00B24A86"/>
    <w:rsid w:val="00B25554"/>
    <w:rsid w:val="00B37256"/>
    <w:rsid w:val="00B560D5"/>
    <w:rsid w:val="00B90EB2"/>
    <w:rsid w:val="00B94B87"/>
    <w:rsid w:val="00BA79DC"/>
    <w:rsid w:val="00BB1AA7"/>
    <w:rsid w:val="00BB1F02"/>
    <w:rsid w:val="00BB3471"/>
    <w:rsid w:val="00BB4E86"/>
    <w:rsid w:val="00BB68E7"/>
    <w:rsid w:val="00BB7104"/>
    <w:rsid w:val="00BB7F5E"/>
    <w:rsid w:val="00BE1D26"/>
    <w:rsid w:val="00BF2BC8"/>
    <w:rsid w:val="00C00119"/>
    <w:rsid w:val="00C042DB"/>
    <w:rsid w:val="00C21483"/>
    <w:rsid w:val="00C31A1B"/>
    <w:rsid w:val="00C46AC9"/>
    <w:rsid w:val="00C564E9"/>
    <w:rsid w:val="00C852DF"/>
    <w:rsid w:val="00C96E21"/>
    <w:rsid w:val="00CA0BCB"/>
    <w:rsid w:val="00CA5516"/>
    <w:rsid w:val="00CA630A"/>
    <w:rsid w:val="00CB3030"/>
    <w:rsid w:val="00CB478E"/>
    <w:rsid w:val="00CC45A0"/>
    <w:rsid w:val="00CD0C41"/>
    <w:rsid w:val="00CD3A53"/>
    <w:rsid w:val="00CE4F12"/>
    <w:rsid w:val="00CF0EC7"/>
    <w:rsid w:val="00D01B52"/>
    <w:rsid w:val="00D03D07"/>
    <w:rsid w:val="00D06BA2"/>
    <w:rsid w:val="00D1293D"/>
    <w:rsid w:val="00D24E0F"/>
    <w:rsid w:val="00D35559"/>
    <w:rsid w:val="00D42B54"/>
    <w:rsid w:val="00D45203"/>
    <w:rsid w:val="00D51DBE"/>
    <w:rsid w:val="00D541BD"/>
    <w:rsid w:val="00D56DA8"/>
    <w:rsid w:val="00D577B9"/>
    <w:rsid w:val="00D6278D"/>
    <w:rsid w:val="00D6466F"/>
    <w:rsid w:val="00D66416"/>
    <w:rsid w:val="00D70887"/>
    <w:rsid w:val="00D73CD3"/>
    <w:rsid w:val="00D8204A"/>
    <w:rsid w:val="00D82B41"/>
    <w:rsid w:val="00D865E3"/>
    <w:rsid w:val="00D90386"/>
    <w:rsid w:val="00D90562"/>
    <w:rsid w:val="00D91D19"/>
    <w:rsid w:val="00DA072A"/>
    <w:rsid w:val="00DA6147"/>
    <w:rsid w:val="00DB48D1"/>
    <w:rsid w:val="00DC32AB"/>
    <w:rsid w:val="00DD2275"/>
    <w:rsid w:val="00DE07DB"/>
    <w:rsid w:val="00DE5FE3"/>
    <w:rsid w:val="00E0670B"/>
    <w:rsid w:val="00E17DAD"/>
    <w:rsid w:val="00E203DA"/>
    <w:rsid w:val="00E32CA0"/>
    <w:rsid w:val="00E412ED"/>
    <w:rsid w:val="00E44AB2"/>
    <w:rsid w:val="00E46F7A"/>
    <w:rsid w:val="00E518E1"/>
    <w:rsid w:val="00E60ABF"/>
    <w:rsid w:val="00E641E6"/>
    <w:rsid w:val="00E85383"/>
    <w:rsid w:val="00E95356"/>
    <w:rsid w:val="00E9742B"/>
    <w:rsid w:val="00EB2CE1"/>
    <w:rsid w:val="00EC6BE2"/>
    <w:rsid w:val="00EC6E3C"/>
    <w:rsid w:val="00ED2285"/>
    <w:rsid w:val="00ED2C53"/>
    <w:rsid w:val="00ED3657"/>
    <w:rsid w:val="00ED469C"/>
    <w:rsid w:val="00EE0164"/>
    <w:rsid w:val="00EE631A"/>
    <w:rsid w:val="00EE6647"/>
    <w:rsid w:val="00EF29F7"/>
    <w:rsid w:val="00EF4138"/>
    <w:rsid w:val="00F0073D"/>
    <w:rsid w:val="00F112A1"/>
    <w:rsid w:val="00F20BAF"/>
    <w:rsid w:val="00F25FA2"/>
    <w:rsid w:val="00F4188C"/>
    <w:rsid w:val="00F745C6"/>
    <w:rsid w:val="00FA1DA5"/>
    <w:rsid w:val="00FC5523"/>
    <w:rsid w:val="00FD106C"/>
    <w:rsid w:val="00FE0BD2"/>
    <w:rsid w:val="00FE545F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EE3A8A"/>
  <w14:defaultImageDpi w14:val="300"/>
  <w15:docId w15:val="{54A6D893-A21E-400F-BA9A-E74A2EE3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0D5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560D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61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B560D5"/>
    <w:rPr>
      <w:rFonts w:eastAsia="Times New Roman" w:cs="Times New Roman"/>
      <w:b/>
      <w:i/>
      <w:sz w:val="28"/>
      <w:szCs w:val="28"/>
      <w:lang w:eastAsia="en-US"/>
    </w:rPr>
  </w:style>
  <w:style w:type="character" w:styleId="Hyperlink">
    <w:name w:val="Hyperlink"/>
    <w:rsid w:val="00B560D5"/>
    <w:rPr>
      <w:color w:val="0000FF"/>
      <w:u w:val="single"/>
    </w:rPr>
  </w:style>
  <w:style w:type="paragraph" w:styleId="Header">
    <w:name w:val="header"/>
    <w:basedOn w:val="Normal"/>
    <w:link w:val="HeaderChar"/>
    <w:rsid w:val="00B56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0D5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1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A7E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gardnerconsulting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.conway@santacruzcounty.u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Conway@santacruzcounty.us" TargetMode="External"/><Relationship Id="rId11" Type="http://schemas.openxmlformats.org/officeDocument/2006/relationships/hyperlink" Target="mailto:tonygardnerconsulting@yahoo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ulie.conway@santacruzcounty.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udexchange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Tony Gardner Consulting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Gardner</dc:creator>
  <cp:keywords/>
  <dc:description/>
  <cp:lastModifiedBy>Bob Russell</cp:lastModifiedBy>
  <cp:revision>2</cp:revision>
  <dcterms:created xsi:type="dcterms:W3CDTF">2017-07-27T20:34:00Z</dcterms:created>
  <dcterms:modified xsi:type="dcterms:W3CDTF">2017-07-27T20:34:00Z</dcterms:modified>
</cp:coreProperties>
</file>